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  <w:lang w:val="en-AU" w:eastAsia="en-US"/>
        </w:rPr>
        <w:id w:val="90071778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6DC5EEA" wp14:editId="5F321B6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7804584"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005bd3 [3208]" strokecolor="#0070c0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0527445" wp14:editId="16434ED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EE7C3E0"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0070c0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F34446E" wp14:editId="0331FDE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6BBE1C4"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0070c0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FE5C3B5" wp14:editId="1C91D33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4A30650"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005bd3 [3208]" strokecolor="#0070c0 [3204]">
                    <w10:wrap anchorx="page" anchory="margin"/>
                  </v:rect>
                </w:pict>
              </mc:Fallback>
            </mc:AlternateContent>
          </w:r>
        </w:p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01D4E" w:rsidRDefault="00001D4E" w:rsidP="00001D4E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="Verdana" w:eastAsia="Times New Roman" w:hAnsi="Verdana" w:cs="Times New Roman"/>
              <w:b/>
              <w:noProof/>
              <w:color w:val="FF0000"/>
              <w:sz w:val="24"/>
              <w:szCs w:val="24"/>
              <w:lang w:val="en-AU" w:eastAsia="en-AU"/>
            </w:rPr>
            <w:drawing>
              <wp:inline distT="0" distB="0" distL="0" distR="0" wp14:anchorId="2160DB5F" wp14:editId="1BCC7EB1">
                <wp:extent cx="3179445" cy="2139315"/>
                <wp:effectExtent l="0" t="0" r="1905" b="0"/>
                <wp:docPr id="2" name="Picture 2" descr="rea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a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9445" cy="213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1D4E" w:rsidRDefault="00001D4E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01D4E" w:rsidRDefault="004E58CF" w:rsidP="00001D4E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 xml:space="preserve">Finance and Audit </w:t>
          </w:r>
          <w:r w:rsidR="00AD575F">
            <w:rPr>
              <w:sz w:val="52"/>
              <w:szCs w:val="52"/>
            </w:rPr>
            <w:t>Subcommittee</w:t>
          </w:r>
        </w:p>
        <w:p w:rsidR="00AD575F" w:rsidRDefault="00AD575F" w:rsidP="00001D4E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 xml:space="preserve">Charter </w:t>
          </w: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 xml:space="preserve">REACH Limited </w:t>
          </w: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001D4E" w:rsidP="00001D4E">
          <w:pPr>
            <w:jc w:val="center"/>
            <w:rPr>
              <w:sz w:val="52"/>
              <w:szCs w:val="52"/>
            </w:rPr>
          </w:pPr>
        </w:p>
        <w:p w:rsidR="00001D4E" w:rsidRDefault="00482578"/>
      </w:sdtContent>
    </w:sdt>
    <w:p w:rsidR="00001D4E" w:rsidRDefault="004E58CF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Finance and Audit</w:t>
      </w:r>
      <w:r w:rsidR="0068429D">
        <w:rPr>
          <w:sz w:val="36"/>
          <w:szCs w:val="36"/>
        </w:rPr>
        <w:t xml:space="preserve"> </w:t>
      </w:r>
      <w:r w:rsidR="0068429D" w:rsidRPr="00001D4E">
        <w:rPr>
          <w:sz w:val="36"/>
          <w:szCs w:val="36"/>
        </w:rPr>
        <w:t>Subcommittee</w:t>
      </w:r>
      <w:r w:rsidR="00AD575F">
        <w:rPr>
          <w:sz w:val="36"/>
          <w:szCs w:val="36"/>
        </w:rPr>
        <w:t xml:space="preserve"> </w:t>
      </w:r>
      <w:r w:rsidR="00001D4E" w:rsidRPr="00001D4E">
        <w:rPr>
          <w:sz w:val="36"/>
          <w:szCs w:val="36"/>
        </w:rPr>
        <w:t xml:space="preserve">Charter </w:t>
      </w:r>
    </w:p>
    <w:p w:rsidR="00001D4E" w:rsidRDefault="00001D4E" w:rsidP="00001D4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82F9E">
        <w:rPr>
          <w:b/>
          <w:sz w:val="24"/>
          <w:szCs w:val="24"/>
          <w:u w:val="single"/>
        </w:rPr>
        <w:t>Introduction</w:t>
      </w:r>
    </w:p>
    <w:p w:rsidR="007578EB" w:rsidRDefault="007578EB" w:rsidP="007578E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charter sets out the scope of the </w:t>
      </w:r>
      <w:r w:rsidR="00265738">
        <w:rPr>
          <w:sz w:val="24"/>
          <w:szCs w:val="24"/>
        </w:rPr>
        <w:t>finance and audit subcommittee</w:t>
      </w:r>
      <w:r>
        <w:rPr>
          <w:sz w:val="24"/>
          <w:szCs w:val="24"/>
        </w:rPr>
        <w:t xml:space="preserve"> in relation to the organisation.</w:t>
      </w:r>
    </w:p>
    <w:p w:rsidR="007578EB" w:rsidRDefault="007578EB" w:rsidP="007578E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role of the </w:t>
      </w:r>
      <w:r w:rsidR="00265738">
        <w:rPr>
          <w:sz w:val="24"/>
          <w:szCs w:val="24"/>
        </w:rPr>
        <w:t>f</w:t>
      </w:r>
      <w:r w:rsidR="000C5234">
        <w:rPr>
          <w:sz w:val="24"/>
          <w:szCs w:val="24"/>
        </w:rPr>
        <w:t>inance a</w:t>
      </w:r>
      <w:r w:rsidR="00265738">
        <w:rPr>
          <w:sz w:val="24"/>
          <w:szCs w:val="24"/>
        </w:rPr>
        <w:t>nd audit s</w:t>
      </w:r>
      <w:r>
        <w:rPr>
          <w:sz w:val="24"/>
          <w:szCs w:val="24"/>
        </w:rPr>
        <w:t>ubcommittee is no</w:t>
      </w:r>
      <w:r w:rsidR="00DF6A6B">
        <w:rPr>
          <w:sz w:val="24"/>
          <w:szCs w:val="24"/>
        </w:rPr>
        <w:t>t</w:t>
      </w:r>
      <w:r>
        <w:rPr>
          <w:sz w:val="24"/>
          <w:szCs w:val="24"/>
        </w:rPr>
        <w:t xml:space="preserve"> an executive role. </w:t>
      </w:r>
    </w:p>
    <w:p w:rsidR="007578EB" w:rsidRPr="007578EB" w:rsidRDefault="007578EB" w:rsidP="007578E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</w:t>
      </w:r>
      <w:r w:rsidRPr="007578EB">
        <w:rPr>
          <w:b/>
          <w:sz w:val="24"/>
          <w:szCs w:val="24"/>
          <w:u w:val="single"/>
        </w:rPr>
        <w:t xml:space="preserve"> </w:t>
      </w:r>
    </w:p>
    <w:p w:rsidR="007578EB" w:rsidRDefault="00265738" w:rsidP="007578EB">
      <w:pPr>
        <w:ind w:left="360"/>
        <w:rPr>
          <w:sz w:val="24"/>
          <w:szCs w:val="24"/>
        </w:rPr>
      </w:pPr>
      <w:r>
        <w:rPr>
          <w:sz w:val="24"/>
          <w:szCs w:val="24"/>
        </w:rPr>
        <w:t>The finance and audit s</w:t>
      </w:r>
      <w:r w:rsidR="000C5234">
        <w:rPr>
          <w:sz w:val="24"/>
          <w:szCs w:val="24"/>
        </w:rPr>
        <w:t>ubcommittee is tasked by the Board of Directors to assist the Board in discharging its oversight responsibilities. The</w:t>
      </w:r>
      <w:r>
        <w:rPr>
          <w:sz w:val="24"/>
          <w:szCs w:val="24"/>
        </w:rPr>
        <w:t xml:space="preserve"> s</w:t>
      </w:r>
      <w:r w:rsidR="000C5234">
        <w:rPr>
          <w:sz w:val="24"/>
          <w:szCs w:val="24"/>
        </w:rPr>
        <w:t>ubcommittee will provide oversight and advice on the financial activities of the organisation and the financial reporting process to ensure the balance, transparency and integrity of published financial information. The</w:t>
      </w:r>
      <w:r>
        <w:rPr>
          <w:sz w:val="24"/>
          <w:szCs w:val="24"/>
        </w:rPr>
        <w:t xml:space="preserve"> s</w:t>
      </w:r>
      <w:r w:rsidR="000C5234">
        <w:rPr>
          <w:sz w:val="24"/>
          <w:szCs w:val="24"/>
        </w:rPr>
        <w:t xml:space="preserve">ubcommittee will also monitor and review the following. </w:t>
      </w:r>
    </w:p>
    <w:p w:rsidR="000C5234" w:rsidRDefault="000C5234" w:rsidP="000C5234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The effectiveness </w:t>
      </w:r>
      <w:r w:rsidR="004E58CF">
        <w:rPr>
          <w:sz w:val="24"/>
          <w:szCs w:val="24"/>
        </w:rPr>
        <w:t>of the organisation</w:t>
      </w:r>
      <w:r w:rsidR="006F15CC">
        <w:rPr>
          <w:sz w:val="24"/>
          <w:szCs w:val="24"/>
        </w:rPr>
        <w:t>’</w:t>
      </w:r>
      <w:r w:rsidR="004E58CF">
        <w:rPr>
          <w:sz w:val="24"/>
          <w:szCs w:val="24"/>
        </w:rPr>
        <w:t>s</w:t>
      </w:r>
      <w:r>
        <w:rPr>
          <w:sz w:val="24"/>
          <w:szCs w:val="24"/>
        </w:rPr>
        <w:t xml:space="preserve"> internal controls.</w:t>
      </w:r>
    </w:p>
    <w:p w:rsidR="000C5234" w:rsidRDefault="000C5234" w:rsidP="000C5234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4E58CF">
        <w:rPr>
          <w:sz w:val="24"/>
          <w:szCs w:val="24"/>
        </w:rPr>
        <w:t xml:space="preserve"> effectiveness of the organisation</w:t>
      </w:r>
      <w:r w:rsidR="006F15CC">
        <w:rPr>
          <w:sz w:val="24"/>
          <w:szCs w:val="24"/>
        </w:rPr>
        <w:t>’</w:t>
      </w:r>
      <w:r w:rsidR="004E58CF">
        <w:rPr>
          <w:sz w:val="24"/>
          <w:szCs w:val="24"/>
        </w:rPr>
        <w:t>s risk management activities.</w:t>
      </w:r>
    </w:p>
    <w:p w:rsidR="004E58CF" w:rsidRDefault="004E58CF" w:rsidP="000C5234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The conduct of the independent audit process, including recommending the appointment and assessing the performance of the external auditor and company accountant. </w:t>
      </w:r>
    </w:p>
    <w:p w:rsidR="004E58CF" w:rsidRPr="004E58CF" w:rsidRDefault="004E58CF" w:rsidP="004E58CF">
      <w:pPr>
        <w:rPr>
          <w:sz w:val="24"/>
          <w:szCs w:val="24"/>
        </w:rPr>
      </w:pPr>
      <w:r>
        <w:rPr>
          <w:sz w:val="24"/>
          <w:szCs w:val="24"/>
        </w:rPr>
        <w:t>In</w:t>
      </w:r>
      <w:r w:rsidR="00265738">
        <w:rPr>
          <w:sz w:val="24"/>
          <w:szCs w:val="24"/>
        </w:rPr>
        <w:t xml:space="preserve"> performing its duties, the s</w:t>
      </w:r>
      <w:r>
        <w:rPr>
          <w:sz w:val="24"/>
          <w:szCs w:val="24"/>
        </w:rPr>
        <w:t>ubcommittee will maintain effective working relationships with the Boa</w:t>
      </w:r>
      <w:r w:rsidR="006F15CC">
        <w:rPr>
          <w:sz w:val="24"/>
          <w:szCs w:val="24"/>
        </w:rPr>
        <w:t xml:space="preserve">rd of Directors, management, </w:t>
      </w:r>
      <w:r>
        <w:rPr>
          <w:sz w:val="24"/>
          <w:szCs w:val="24"/>
        </w:rPr>
        <w:t xml:space="preserve">external auditors and </w:t>
      </w:r>
      <w:r w:rsidR="006F15CC">
        <w:rPr>
          <w:sz w:val="24"/>
          <w:szCs w:val="24"/>
        </w:rPr>
        <w:t xml:space="preserve">the </w:t>
      </w:r>
      <w:r>
        <w:rPr>
          <w:sz w:val="24"/>
          <w:szCs w:val="24"/>
        </w:rPr>
        <w:t>company accountant. To perform their role effectively, each committee member will develop and maintain their skills and knowledge, inc</w:t>
      </w:r>
      <w:r w:rsidR="00265738">
        <w:rPr>
          <w:sz w:val="24"/>
          <w:szCs w:val="24"/>
        </w:rPr>
        <w:t>luding an understanding of the s</w:t>
      </w:r>
      <w:r>
        <w:rPr>
          <w:sz w:val="24"/>
          <w:szCs w:val="24"/>
        </w:rPr>
        <w:t>ubcommittee’s responsibilities and of the organisation</w:t>
      </w:r>
      <w:r w:rsidR="006F15CC">
        <w:rPr>
          <w:sz w:val="24"/>
          <w:szCs w:val="24"/>
        </w:rPr>
        <w:t>’</w:t>
      </w:r>
      <w:r>
        <w:rPr>
          <w:sz w:val="24"/>
          <w:szCs w:val="24"/>
        </w:rPr>
        <w:t>s business operations and risk</w:t>
      </w:r>
      <w:r w:rsidR="006F15CC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</w:p>
    <w:p w:rsidR="00DF6A6B" w:rsidRDefault="00DF6A6B" w:rsidP="007D1545">
      <w:pPr>
        <w:rPr>
          <w:b/>
          <w:sz w:val="24"/>
          <w:szCs w:val="24"/>
          <w:u w:val="single"/>
        </w:rPr>
      </w:pPr>
    </w:p>
    <w:p w:rsidR="00265738" w:rsidRDefault="00265738" w:rsidP="007D1545">
      <w:pPr>
        <w:rPr>
          <w:b/>
          <w:sz w:val="24"/>
          <w:szCs w:val="24"/>
          <w:u w:val="single"/>
        </w:rPr>
      </w:pPr>
    </w:p>
    <w:p w:rsidR="00265738" w:rsidRDefault="00265738" w:rsidP="007D1545">
      <w:pPr>
        <w:rPr>
          <w:b/>
          <w:sz w:val="24"/>
          <w:szCs w:val="24"/>
          <w:u w:val="single"/>
        </w:rPr>
      </w:pPr>
    </w:p>
    <w:p w:rsidR="00265738" w:rsidRDefault="00265738" w:rsidP="007D1545">
      <w:pPr>
        <w:rPr>
          <w:b/>
          <w:sz w:val="24"/>
          <w:szCs w:val="24"/>
          <w:u w:val="single"/>
        </w:rPr>
      </w:pPr>
    </w:p>
    <w:p w:rsidR="004E58CF" w:rsidRPr="00265738" w:rsidRDefault="00427FBE" w:rsidP="002657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Responsibilities </w:t>
      </w:r>
    </w:p>
    <w:p w:rsidR="00265738" w:rsidRDefault="00265738" w:rsidP="00265738">
      <w:pPr>
        <w:ind w:left="360"/>
        <w:rPr>
          <w:sz w:val="24"/>
          <w:szCs w:val="24"/>
        </w:rPr>
      </w:pPr>
      <w:r>
        <w:rPr>
          <w:sz w:val="24"/>
          <w:szCs w:val="24"/>
        </w:rPr>
        <w:t>The finance and audit subcommittee is authorised by the Board of Directors, within the scope of its responsibilities and approved budgets, to:</w:t>
      </w:r>
    </w:p>
    <w:p w:rsidR="00265738" w:rsidRDefault="00265738" w:rsidP="00265738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Engage independent counsel and other advisors as it deems necessary to carry out its duties. </w:t>
      </w:r>
    </w:p>
    <w:p w:rsidR="00265738" w:rsidRDefault="00427FBE" w:rsidP="00265738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Monitor</w:t>
      </w:r>
      <w:r w:rsidR="00265738">
        <w:rPr>
          <w:sz w:val="24"/>
          <w:szCs w:val="24"/>
        </w:rPr>
        <w:t xml:space="preserve"> the attendance of company officers at meetings as appropriate. </w:t>
      </w:r>
    </w:p>
    <w:p w:rsidR="00265738" w:rsidRDefault="00265738" w:rsidP="00265738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Have unrestricted access to members of management, employees and relevant information. </w:t>
      </w:r>
    </w:p>
    <w:p w:rsidR="00265738" w:rsidRDefault="00265738" w:rsidP="00265738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Be directly involved with the appointment, compensation, retention and oversight of the work of the external auditor and company accountant.</w:t>
      </w:r>
    </w:p>
    <w:p w:rsidR="00265738" w:rsidRDefault="00500CBA" w:rsidP="00265738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Present audit engagement fees and terms to the Board for approval.</w:t>
      </w:r>
    </w:p>
    <w:p w:rsidR="00427FBE" w:rsidRDefault="00427FBE" w:rsidP="00427FBE">
      <w:pPr>
        <w:pStyle w:val="ListParagraph"/>
        <w:ind w:left="1080"/>
        <w:rPr>
          <w:sz w:val="24"/>
          <w:szCs w:val="24"/>
        </w:rPr>
      </w:pPr>
    </w:p>
    <w:p w:rsidR="00427FBE" w:rsidRDefault="00427FBE" w:rsidP="00427FBE">
      <w:pPr>
        <w:rPr>
          <w:sz w:val="24"/>
          <w:szCs w:val="24"/>
        </w:rPr>
      </w:pPr>
      <w:r w:rsidRPr="00427FBE">
        <w:rPr>
          <w:b/>
          <w:sz w:val="24"/>
          <w:szCs w:val="24"/>
          <w:u w:val="single"/>
        </w:rPr>
        <w:t>The Finance and Audit Subcommittee</w:t>
      </w:r>
    </w:p>
    <w:p w:rsidR="00427FBE" w:rsidRDefault="00126379" w:rsidP="00427FBE">
      <w:pPr>
        <w:rPr>
          <w:sz w:val="24"/>
          <w:szCs w:val="24"/>
        </w:rPr>
      </w:pPr>
      <w:r>
        <w:rPr>
          <w:sz w:val="24"/>
          <w:szCs w:val="24"/>
        </w:rPr>
        <w:t>The finance and audit subcommittee must comprise of;</w:t>
      </w:r>
    </w:p>
    <w:p w:rsidR="00126379" w:rsidRDefault="00232275" w:rsidP="00126379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26379">
        <w:rPr>
          <w:sz w:val="24"/>
          <w:szCs w:val="24"/>
        </w:rPr>
        <w:t xml:space="preserve"> mi</w:t>
      </w:r>
      <w:r w:rsidR="006F15CC">
        <w:rPr>
          <w:sz w:val="24"/>
          <w:szCs w:val="24"/>
        </w:rPr>
        <w:t xml:space="preserve">xture of independent directors and </w:t>
      </w:r>
      <w:r w:rsidR="00126379">
        <w:rPr>
          <w:sz w:val="24"/>
          <w:szCs w:val="24"/>
        </w:rPr>
        <w:t>management</w:t>
      </w:r>
      <w:r w:rsidR="006F15CC">
        <w:rPr>
          <w:sz w:val="24"/>
          <w:szCs w:val="24"/>
        </w:rPr>
        <w:t>,</w:t>
      </w:r>
      <w:r w:rsidR="00126379">
        <w:rPr>
          <w:sz w:val="24"/>
          <w:szCs w:val="24"/>
        </w:rPr>
        <w:t xml:space="preserve"> and will be chaired by one of the independent</w:t>
      </w:r>
      <w:r>
        <w:rPr>
          <w:sz w:val="24"/>
          <w:szCs w:val="24"/>
        </w:rPr>
        <w:t xml:space="preserve"> directors</w:t>
      </w:r>
      <w:r w:rsidR="00126379">
        <w:rPr>
          <w:sz w:val="24"/>
          <w:szCs w:val="24"/>
        </w:rPr>
        <w:t xml:space="preserve">, typically the Treasurer. </w:t>
      </w:r>
    </w:p>
    <w:p w:rsidR="00126379" w:rsidRDefault="00126379" w:rsidP="00126379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The finance and audit subco</w:t>
      </w:r>
      <w:r w:rsidR="00232275">
        <w:rPr>
          <w:sz w:val="24"/>
          <w:szCs w:val="24"/>
        </w:rPr>
        <w:t>mmittee may invite non-director</w:t>
      </w:r>
      <w:r>
        <w:rPr>
          <w:sz w:val="24"/>
          <w:szCs w:val="24"/>
        </w:rPr>
        <w:t xml:space="preserve"> members to augment its range of backgrounds and experience. The subcommittee may also appoint relevant specialists as advisors, such as the </w:t>
      </w:r>
      <w:r w:rsidR="00232275">
        <w:rPr>
          <w:sz w:val="24"/>
          <w:szCs w:val="24"/>
        </w:rPr>
        <w:t>external auditor or company accountant.</w:t>
      </w:r>
    </w:p>
    <w:p w:rsidR="00126379" w:rsidRDefault="00126379" w:rsidP="00126379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A quorum of any meeting will be </w:t>
      </w:r>
      <w:r w:rsidR="00232275">
        <w:rPr>
          <w:sz w:val="24"/>
          <w:szCs w:val="24"/>
        </w:rPr>
        <w:t>two (</w:t>
      </w:r>
      <w:r>
        <w:rPr>
          <w:sz w:val="24"/>
          <w:szCs w:val="24"/>
        </w:rPr>
        <w:t xml:space="preserve">2) members with at least one (1) member being an independent director. </w:t>
      </w:r>
    </w:p>
    <w:p w:rsidR="00126379" w:rsidRDefault="00126379" w:rsidP="00126379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Each member must be financially literate.</w:t>
      </w:r>
    </w:p>
    <w:p w:rsidR="00126379" w:rsidRDefault="00126379" w:rsidP="00126379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Members will be appointed without a fixed term of office. </w:t>
      </w:r>
    </w:p>
    <w:p w:rsidR="00126379" w:rsidRDefault="00126379" w:rsidP="00126379">
      <w:pPr>
        <w:rPr>
          <w:sz w:val="24"/>
          <w:szCs w:val="24"/>
        </w:rPr>
      </w:pPr>
      <w:r w:rsidRPr="00126379">
        <w:rPr>
          <w:b/>
          <w:sz w:val="24"/>
          <w:szCs w:val="24"/>
          <w:u w:val="single"/>
        </w:rPr>
        <w:t>Minutes of the Financial and Audit Subcommittee</w:t>
      </w:r>
    </w:p>
    <w:p w:rsidR="00126379" w:rsidRDefault="00126379" w:rsidP="0012637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The finance and audit subcommittee must keep minutes of its meetings;</w:t>
      </w:r>
    </w:p>
    <w:p w:rsidR="00126379" w:rsidRDefault="00126379" w:rsidP="0012637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each meeting must be </w:t>
      </w:r>
      <w:r w:rsidR="006F15CC">
        <w:rPr>
          <w:sz w:val="24"/>
          <w:szCs w:val="24"/>
        </w:rPr>
        <w:t>tabled at</w:t>
      </w:r>
      <w:r>
        <w:rPr>
          <w:sz w:val="24"/>
          <w:szCs w:val="24"/>
        </w:rPr>
        <w:t xml:space="preserve"> the next directors meeting;</w:t>
      </w:r>
    </w:p>
    <w:p w:rsidR="00126379" w:rsidRDefault="00B71703" w:rsidP="0012637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Minutes must be distributed to all subcommittee members after the chairperson has approved them;</w:t>
      </w:r>
    </w:p>
    <w:p w:rsidR="00B71703" w:rsidRDefault="00B71703" w:rsidP="0012637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Minutes, agenda and supporting </w:t>
      </w:r>
      <w:r w:rsidR="00232275">
        <w:rPr>
          <w:sz w:val="24"/>
          <w:szCs w:val="24"/>
        </w:rPr>
        <w:t xml:space="preserve">documents </w:t>
      </w:r>
      <w:r>
        <w:rPr>
          <w:sz w:val="24"/>
          <w:szCs w:val="24"/>
        </w:rPr>
        <w:t xml:space="preserve">are available to directors upon request to the committee, except if there is a conflict of interest. </w:t>
      </w:r>
    </w:p>
    <w:p w:rsidR="00B71703" w:rsidRDefault="00B71703" w:rsidP="0012637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The finance and audit subcommittee will meet at least twice per year or as necessary. </w:t>
      </w:r>
    </w:p>
    <w:p w:rsidR="00B71703" w:rsidRDefault="00B71703" w:rsidP="0012637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One or more members of the subcommittee will meet with the external auditor when required. </w:t>
      </w:r>
    </w:p>
    <w:p w:rsidR="00B71703" w:rsidRDefault="00B71703" w:rsidP="00126379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One or more members of the subcommittee will work with the company accountant during the annual audit process. </w:t>
      </w:r>
    </w:p>
    <w:p w:rsidR="00B71703" w:rsidRDefault="00232275" w:rsidP="00B7170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Risk Management and Internal C</w:t>
      </w:r>
      <w:r w:rsidR="00B71703" w:rsidRPr="00B71703">
        <w:rPr>
          <w:b/>
          <w:sz w:val="24"/>
          <w:szCs w:val="24"/>
          <w:u w:val="single"/>
        </w:rPr>
        <w:t>ontrols</w:t>
      </w:r>
    </w:p>
    <w:p w:rsidR="00B71703" w:rsidRDefault="00B71703" w:rsidP="00B717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finance and audit subcommittee will:</w:t>
      </w:r>
    </w:p>
    <w:p w:rsidR="00B71703" w:rsidRDefault="00B71703" w:rsidP="00B71703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Work with management to set the annual budget.</w:t>
      </w:r>
    </w:p>
    <w:p w:rsidR="00E45E83" w:rsidRDefault="00E45E83" w:rsidP="00B71703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Pr</w:t>
      </w:r>
      <w:r w:rsidR="006F15CC">
        <w:rPr>
          <w:sz w:val="24"/>
          <w:szCs w:val="24"/>
        </w:rPr>
        <w:t>esent the annual budget to the B</w:t>
      </w:r>
      <w:r>
        <w:rPr>
          <w:sz w:val="24"/>
          <w:szCs w:val="24"/>
        </w:rPr>
        <w:t xml:space="preserve">oard for approval. </w:t>
      </w:r>
    </w:p>
    <w:p w:rsidR="00B71703" w:rsidRDefault="00B71703" w:rsidP="00B71703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Oversee management’s identification, assessment and management of material risks including but not limited to financial, investment, fraud, operational and reputation risks. </w:t>
      </w:r>
    </w:p>
    <w:p w:rsidR="00B71703" w:rsidRDefault="00B71703" w:rsidP="00B71703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Monitor adherence to the organisation’s policies and procedures. </w:t>
      </w:r>
    </w:p>
    <w:p w:rsidR="00B71703" w:rsidRDefault="00E45E83" w:rsidP="00B71703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Monitor the organisation’s internal controls.</w:t>
      </w:r>
    </w:p>
    <w:p w:rsidR="00E45E83" w:rsidRDefault="00E45E83" w:rsidP="00B71703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Review any material incidents or breaches and correc</w:t>
      </w:r>
      <w:r w:rsidR="006F15CC">
        <w:rPr>
          <w:sz w:val="24"/>
          <w:szCs w:val="24"/>
        </w:rPr>
        <w:t>tive actions, and escalate for B</w:t>
      </w:r>
      <w:r>
        <w:rPr>
          <w:sz w:val="24"/>
          <w:szCs w:val="24"/>
        </w:rPr>
        <w:t xml:space="preserve">oard review. </w:t>
      </w:r>
    </w:p>
    <w:p w:rsidR="00E45E83" w:rsidRPr="00B71703" w:rsidRDefault="006F15CC" w:rsidP="00B71703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Be available to process debtor and </w:t>
      </w:r>
      <w:r w:rsidR="00E45E83">
        <w:rPr>
          <w:sz w:val="24"/>
          <w:szCs w:val="24"/>
        </w:rPr>
        <w:t xml:space="preserve">payroll payments </w:t>
      </w:r>
      <w:r>
        <w:rPr>
          <w:sz w:val="24"/>
          <w:szCs w:val="24"/>
        </w:rPr>
        <w:t xml:space="preserve">on the </w:t>
      </w:r>
      <w:r w:rsidR="00E45E83">
        <w:rPr>
          <w:sz w:val="24"/>
          <w:szCs w:val="24"/>
        </w:rPr>
        <w:t xml:space="preserve">Friday of each week or the most </w:t>
      </w:r>
      <w:r>
        <w:rPr>
          <w:sz w:val="24"/>
          <w:szCs w:val="24"/>
        </w:rPr>
        <w:t>appropriate</w:t>
      </w:r>
      <w:r w:rsidR="00E45E83">
        <w:rPr>
          <w:sz w:val="24"/>
          <w:szCs w:val="24"/>
        </w:rPr>
        <w:t xml:space="preserve"> day if the Friday is a public holiday. </w:t>
      </w:r>
    </w:p>
    <w:p w:rsidR="00DF6A6B" w:rsidRPr="00DF6A6B" w:rsidRDefault="00DF6A6B" w:rsidP="007D1545">
      <w:pPr>
        <w:rPr>
          <w:b/>
          <w:sz w:val="24"/>
          <w:szCs w:val="24"/>
          <w:u w:val="single"/>
        </w:rPr>
      </w:pPr>
      <w:r w:rsidRPr="00DF6A6B">
        <w:rPr>
          <w:b/>
          <w:sz w:val="24"/>
          <w:szCs w:val="24"/>
          <w:u w:val="single"/>
        </w:rPr>
        <w:t>Review and changes to this charter</w:t>
      </w:r>
    </w:p>
    <w:p w:rsidR="004C26AD" w:rsidRPr="004C26AD" w:rsidRDefault="00DF6A6B" w:rsidP="004C26A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F15CC">
        <w:rPr>
          <w:sz w:val="24"/>
          <w:szCs w:val="24"/>
        </w:rPr>
        <w:t>finance and audit subcommittee</w:t>
      </w:r>
      <w:r>
        <w:rPr>
          <w:sz w:val="24"/>
          <w:szCs w:val="24"/>
        </w:rPr>
        <w:t xml:space="preserve"> will review this charter annually or as often as it considers necessary. The Board may change this charter from time to time depending on the needs of the organisation. </w:t>
      </w:r>
    </w:p>
    <w:p w:rsidR="00482578" w:rsidRDefault="004C26AD" w:rsidP="00482578">
      <w:pPr>
        <w:rPr>
          <w:b/>
          <w:sz w:val="24"/>
          <w:szCs w:val="24"/>
          <w:u w:val="single"/>
        </w:rPr>
      </w:pPr>
      <w:r w:rsidRPr="004C26AD">
        <w:rPr>
          <w:sz w:val="24"/>
          <w:szCs w:val="24"/>
        </w:rPr>
        <w:t xml:space="preserve"> </w:t>
      </w:r>
    </w:p>
    <w:p w:rsidR="00482578" w:rsidRDefault="00482578" w:rsidP="00482578">
      <w:pPr>
        <w:rPr>
          <w:b/>
          <w:sz w:val="24"/>
          <w:szCs w:val="24"/>
          <w:u w:val="single"/>
        </w:rPr>
      </w:pPr>
    </w:p>
    <w:p w:rsidR="00482578" w:rsidRDefault="00482578" w:rsidP="00482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4F80">
        <w:rPr>
          <w:rFonts w:ascii="Times New Roman" w:hAnsi="Times New Roman"/>
          <w:b/>
          <w:color w:val="000000"/>
          <w:sz w:val="24"/>
          <w:szCs w:val="24"/>
        </w:rPr>
        <w:t>Reviewed:</w:t>
      </w:r>
      <w:r w:rsidRPr="00814F8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May 2014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82578" w:rsidRPr="009F5780" w:rsidRDefault="00482578" w:rsidP="00482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Reviewed:   </w:t>
      </w:r>
      <w:r>
        <w:rPr>
          <w:rFonts w:ascii="Times New Roman" w:hAnsi="Times New Roman"/>
          <w:color w:val="000000"/>
          <w:sz w:val="24"/>
          <w:szCs w:val="24"/>
        </w:rPr>
        <w:t xml:space="preserve">January 2020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bookmarkStart w:id="0" w:name="_GoBack"/>
      <w:bookmarkEnd w:id="0"/>
    </w:p>
    <w:p w:rsidR="00482578" w:rsidRDefault="00482578" w:rsidP="00482578">
      <w:pPr>
        <w:rPr>
          <w:sz w:val="24"/>
          <w:szCs w:val="24"/>
        </w:rPr>
      </w:pPr>
    </w:p>
    <w:p w:rsidR="00AB1A18" w:rsidRDefault="00AB1A18" w:rsidP="006F5368">
      <w:pPr>
        <w:ind w:left="360"/>
        <w:rPr>
          <w:sz w:val="24"/>
          <w:szCs w:val="24"/>
        </w:rPr>
      </w:pPr>
    </w:p>
    <w:sectPr w:rsidR="00AB1A18" w:rsidSect="00001D4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75" w:rsidRDefault="00232275" w:rsidP="00001D4E">
      <w:pPr>
        <w:spacing w:after="0" w:line="240" w:lineRule="auto"/>
      </w:pPr>
      <w:r>
        <w:separator/>
      </w:r>
    </w:p>
  </w:endnote>
  <w:endnote w:type="continuationSeparator" w:id="0">
    <w:p w:rsidR="00232275" w:rsidRDefault="00232275" w:rsidP="0000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0899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32275" w:rsidRDefault="006F15CC" w:rsidP="00BE648E">
        <w:pPr>
          <w:pStyle w:val="Footer"/>
          <w:pBdr>
            <w:top w:val="single" w:sz="4" w:space="1" w:color="D9D9D9" w:themeColor="background1" w:themeShade="D9"/>
          </w:pBdr>
        </w:pPr>
        <w:r>
          <w:rPr>
            <w:color w:val="808080" w:themeColor="background1" w:themeShade="80"/>
            <w:spacing w:val="6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57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32275" w:rsidRDefault="00232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75" w:rsidRDefault="00232275" w:rsidP="00001D4E">
      <w:pPr>
        <w:spacing w:after="0" w:line="240" w:lineRule="auto"/>
      </w:pPr>
      <w:r>
        <w:separator/>
      </w:r>
    </w:p>
  </w:footnote>
  <w:footnote w:type="continuationSeparator" w:id="0">
    <w:p w:rsidR="00232275" w:rsidRDefault="00232275" w:rsidP="0000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275" w:rsidRDefault="0023227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5EB"/>
    <w:multiLevelType w:val="hybridMultilevel"/>
    <w:tmpl w:val="A68484F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48"/>
    <w:multiLevelType w:val="multilevel"/>
    <w:tmpl w:val="52FE2E1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50D658E"/>
    <w:multiLevelType w:val="hybridMultilevel"/>
    <w:tmpl w:val="9168D0E8"/>
    <w:lvl w:ilvl="0" w:tplc="0C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06047EB3"/>
    <w:multiLevelType w:val="hybridMultilevel"/>
    <w:tmpl w:val="E7D20CF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AA020D"/>
    <w:multiLevelType w:val="hybridMultilevel"/>
    <w:tmpl w:val="C6542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3AF5"/>
    <w:multiLevelType w:val="hybridMultilevel"/>
    <w:tmpl w:val="068EC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461F2"/>
    <w:multiLevelType w:val="hybridMultilevel"/>
    <w:tmpl w:val="7BBEB3D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47994"/>
    <w:multiLevelType w:val="hybridMultilevel"/>
    <w:tmpl w:val="C7547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6767"/>
    <w:multiLevelType w:val="hybridMultilevel"/>
    <w:tmpl w:val="46465F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8D046D"/>
    <w:multiLevelType w:val="hybridMultilevel"/>
    <w:tmpl w:val="F6EAFA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E00F5"/>
    <w:multiLevelType w:val="hybridMultilevel"/>
    <w:tmpl w:val="B9625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6B3E"/>
    <w:multiLevelType w:val="hybridMultilevel"/>
    <w:tmpl w:val="D938F3D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E94317"/>
    <w:multiLevelType w:val="hybridMultilevel"/>
    <w:tmpl w:val="246A75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45610"/>
    <w:multiLevelType w:val="hybridMultilevel"/>
    <w:tmpl w:val="6308B6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641F"/>
    <w:multiLevelType w:val="hybridMultilevel"/>
    <w:tmpl w:val="A6C07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A68B5"/>
    <w:multiLevelType w:val="hybridMultilevel"/>
    <w:tmpl w:val="49B65C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F0498"/>
    <w:multiLevelType w:val="hybridMultilevel"/>
    <w:tmpl w:val="C5DADB0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440121"/>
    <w:multiLevelType w:val="hybridMultilevel"/>
    <w:tmpl w:val="546072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E7EB7"/>
    <w:multiLevelType w:val="hybridMultilevel"/>
    <w:tmpl w:val="302EB97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28E6"/>
    <w:multiLevelType w:val="hybridMultilevel"/>
    <w:tmpl w:val="796ECC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B4053"/>
    <w:multiLevelType w:val="hybridMultilevel"/>
    <w:tmpl w:val="DDBC32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F303A8"/>
    <w:multiLevelType w:val="hybridMultilevel"/>
    <w:tmpl w:val="D262708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3836B5"/>
    <w:multiLevelType w:val="hybridMultilevel"/>
    <w:tmpl w:val="F078A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C7607"/>
    <w:multiLevelType w:val="hybridMultilevel"/>
    <w:tmpl w:val="5860E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C0B"/>
    <w:multiLevelType w:val="hybridMultilevel"/>
    <w:tmpl w:val="23CC8DE4"/>
    <w:lvl w:ilvl="0" w:tplc="0C090017">
      <w:start w:val="1"/>
      <w:numFmt w:val="lowerLetter"/>
      <w:lvlText w:val="%1)"/>
      <w:lvlJc w:val="left"/>
      <w:pPr>
        <w:ind w:left="810" w:hanging="360"/>
      </w:p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542F91"/>
    <w:multiLevelType w:val="hybridMultilevel"/>
    <w:tmpl w:val="FB4421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1F7FE5"/>
    <w:multiLevelType w:val="hybridMultilevel"/>
    <w:tmpl w:val="77DCC7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F84BD3"/>
    <w:multiLevelType w:val="hybridMultilevel"/>
    <w:tmpl w:val="3D78AB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81DF0"/>
    <w:multiLevelType w:val="hybridMultilevel"/>
    <w:tmpl w:val="7660A16C"/>
    <w:lvl w:ilvl="0" w:tplc="0C090013">
      <w:start w:val="1"/>
      <w:numFmt w:val="upperRoman"/>
      <w:lvlText w:val="%1."/>
      <w:lvlJc w:val="right"/>
      <w:pPr>
        <w:ind w:left="1530" w:hanging="360"/>
      </w:p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4E055CB8"/>
    <w:multiLevelType w:val="hybridMultilevel"/>
    <w:tmpl w:val="A6A6D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D11FF"/>
    <w:multiLevelType w:val="hybridMultilevel"/>
    <w:tmpl w:val="38CA0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CF4CC4"/>
    <w:multiLevelType w:val="hybridMultilevel"/>
    <w:tmpl w:val="7F62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82AE6"/>
    <w:multiLevelType w:val="hybridMultilevel"/>
    <w:tmpl w:val="EBA847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B643A5"/>
    <w:multiLevelType w:val="hybridMultilevel"/>
    <w:tmpl w:val="99946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C68AB"/>
    <w:multiLevelType w:val="hybridMultilevel"/>
    <w:tmpl w:val="D6D8A176"/>
    <w:lvl w:ilvl="0" w:tplc="67406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8A5419"/>
    <w:multiLevelType w:val="hybridMultilevel"/>
    <w:tmpl w:val="CE587BCE"/>
    <w:lvl w:ilvl="0" w:tplc="516AD01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610675BF"/>
    <w:multiLevelType w:val="hybridMultilevel"/>
    <w:tmpl w:val="E68E78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62251"/>
    <w:multiLevelType w:val="hybridMultilevel"/>
    <w:tmpl w:val="4A1C7F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BEB"/>
    <w:multiLevelType w:val="hybridMultilevel"/>
    <w:tmpl w:val="DB6C7D18"/>
    <w:lvl w:ilvl="0" w:tplc="6D246C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532EEC"/>
    <w:multiLevelType w:val="hybridMultilevel"/>
    <w:tmpl w:val="A052D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D0D70"/>
    <w:multiLevelType w:val="hybridMultilevel"/>
    <w:tmpl w:val="7A9C4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51DA9"/>
    <w:multiLevelType w:val="hybridMultilevel"/>
    <w:tmpl w:val="0B94705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BC7F4B"/>
    <w:multiLevelType w:val="hybridMultilevel"/>
    <w:tmpl w:val="7E0C38E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D4659B"/>
    <w:multiLevelType w:val="hybridMultilevel"/>
    <w:tmpl w:val="7CE2685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143D99"/>
    <w:multiLevelType w:val="hybridMultilevel"/>
    <w:tmpl w:val="1E249E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7"/>
  </w:num>
  <w:num w:numId="5">
    <w:abstractNumId w:val="42"/>
  </w:num>
  <w:num w:numId="6">
    <w:abstractNumId w:val="16"/>
  </w:num>
  <w:num w:numId="7">
    <w:abstractNumId w:val="0"/>
  </w:num>
  <w:num w:numId="8">
    <w:abstractNumId w:val="13"/>
  </w:num>
  <w:num w:numId="9">
    <w:abstractNumId w:val="32"/>
  </w:num>
  <w:num w:numId="10">
    <w:abstractNumId w:val="36"/>
  </w:num>
  <w:num w:numId="11">
    <w:abstractNumId w:val="17"/>
  </w:num>
  <w:num w:numId="12">
    <w:abstractNumId w:val="30"/>
  </w:num>
  <w:num w:numId="13">
    <w:abstractNumId w:val="20"/>
  </w:num>
  <w:num w:numId="14">
    <w:abstractNumId w:val="18"/>
  </w:num>
  <w:num w:numId="15">
    <w:abstractNumId w:val="9"/>
  </w:num>
  <w:num w:numId="16">
    <w:abstractNumId w:val="22"/>
  </w:num>
  <w:num w:numId="17">
    <w:abstractNumId w:val="8"/>
  </w:num>
  <w:num w:numId="18">
    <w:abstractNumId w:val="34"/>
  </w:num>
  <w:num w:numId="19">
    <w:abstractNumId w:val="35"/>
  </w:num>
  <w:num w:numId="20">
    <w:abstractNumId w:val="39"/>
  </w:num>
  <w:num w:numId="21">
    <w:abstractNumId w:val="29"/>
  </w:num>
  <w:num w:numId="22">
    <w:abstractNumId w:val="23"/>
  </w:num>
  <w:num w:numId="23">
    <w:abstractNumId w:val="37"/>
  </w:num>
  <w:num w:numId="24">
    <w:abstractNumId w:val="33"/>
  </w:num>
  <w:num w:numId="25">
    <w:abstractNumId w:val="3"/>
  </w:num>
  <w:num w:numId="26">
    <w:abstractNumId w:val="38"/>
  </w:num>
  <w:num w:numId="27">
    <w:abstractNumId w:val="24"/>
  </w:num>
  <w:num w:numId="28">
    <w:abstractNumId w:val="28"/>
  </w:num>
  <w:num w:numId="29">
    <w:abstractNumId w:val="2"/>
  </w:num>
  <w:num w:numId="30">
    <w:abstractNumId w:val="40"/>
  </w:num>
  <w:num w:numId="31">
    <w:abstractNumId w:val="43"/>
  </w:num>
  <w:num w:numId="32">
    <w:abstractNumId w:val="19"/>
  </w:num>
  <w:num w:numId="33">
    <w:abstractNumId w:val="44"/>
  </w:num>
  <w:num w:numId="34">
    <w:abstractNumId w:val="41"/>
  </w:num>
  <w:num w:numId="35">
    <w:abstractNumId w:val="15"/>
  </w:num>
  <w:num w:numId="36">
    <w:abstractNumId w:val="6"/>
  </w:num>
  <w:num w:numId="37">
    <w:abstractNumId w:val="5"/>
  </w:num>
  <w:num w:numId="38">
    <w:abstractNumId w:val="14"/>
  </w:num>
  <w:num w:numId="39">
    <w:abstractNumId w:val="31"/>
  </w:num>
  <w:num w:numId="40">
    <w:abstractNumId w:val="26"/>
  </w:num>
  <w:num w:numId="41">
    <w:abstractNumId w:val="12"/>
  </w:num>
  <w:num w:numId="42">
    <w:abstractNumId w:val="10"/>
  </w:num>
  <w:num w:numId="43">
    <w:abstractNumId w:val="4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4E"/>
    <w:rsid w:val="00001D4E"/>
    <w:rsid w:val="0004796C"/>
    <w:rsid w:val="00071567"/>
    <w:rsid w:val="000750A6"/>
    <w:rsid w:val="000C5234"/>
    <w:rsid w:val="00126379"/>
    <w:rsid w:val="0016538A"/>
    <w:rsid w:val="00211BC8"/>
    <w:rsid w:val="00232275"/>
    <w:rsid w:val="00251EF3"/>
    <w:rsid w:val="00265738"/>
    <w:rsid w:val="0027794C"/>
    <w:rsid w:val="003559FE"/>
    <w:rsid w:val="00366A63"/>
    <w:rsid w:val="0038715A"/>
    <w:rsid w:val="003A5ADF"/>
    <w:rsid w:val="003E5B9A"/>
    <w:rsid w:val="00427FBE"/>
    <w:rsid w:val="00440AE7"/>
    <w:rsid w:val="00482578"/>
    <w:rsid w:val="00484768"/>
    <w:rsid w:val="00491F06"/>
    <w:rsid w:val="004C26AD"/>
    <w:rsid w:val="004C4CB3"/>
    <w:rsid w:val="004E58CF"/>
    <w:rsid w:val="004E7F07"/>
    <w:rsid w:val="00500CBA"/>
    <w:rsid w:val="006031DD"/>
    <w:rsid w:val="00646B39"/>
    <w:rsid w:val="00671A73"/>
    <w:rsid w:val="0067433E"/>
    <w:rsid w:val="0068429D"/>
    <w:rsid w:val="006B3528"/>
    <w:rsid w:val="006F15CC"/>
    <w:rsid w:val="006F5368"/>
    <w:rsid w:val="00745B31"/>
    <w:rsid w:val="007578EB"/>
    <w:rsid w:val="00765253"/>
    <w:rsid w:val="007C340F"/>
    <w:rsid w:val="007D1545"/>
    <w:rsid w:val="008359C1"/>
    <w:rsid w:val="00860AE1"/>
    <w:rsid w:val="00867625"/>
    <w:rsid w:val="008B4282"/>
    <w:rsid w:val="00982F9E"/>
    <w:rsid w:val="009A6893"/>
    <w:rsid w:val="009A6FDC"/>
    <w:rsid w:val="00A02B5E"/>
    <w:rsid w:val="00A837E2"/>
    <w:rsid w:val="00AB1A18"/>
    <w:rsid w:val="00AD575F"/>
    <w:rsid w:val="00B31405"/>
    <w:rsid w:val="00B37D45"/>
    <w:rsid w:val="00B704DB"/>
    <w:rsid w:val="00B71703"/>
    <w:rsid w:val="00BE648E"/>
    <w:rsid w:val="00C3143F"/>
    <w:rsid w:val="00C87A09"/>
    <w:rsid w:val="00CD2EBA"/>
    <w:rsid w:val="00D31FB5"/>
    <w:rsid w:val="00D5139B"/>
    <w:rsid w:val="00DB1583"/>
    <w:rsid w:val="00DF20D1"/>
    <w:rsid w:val="00DF6A6B"/>
    <w:rsid w:val="00E45E83"/>
    <w:rsid w:val="00E606A7"/>
    <w:rsid w:val="00E64E65"/>
    <w:rsid w:val="00F26D54"/>
    <w:rsid w:val="00F67EF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A427"/>
  <w15:docId w15:val="{BA426541-37F7-4E9C-A9C2-DBBD5582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4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1D4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01D4E"/>
    <w:rPr>
      <w:rFonts w:eastAsiaTheme="minorEastAsia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0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4E"/>
  </w:style>
  <w:style w:type="paragraph" w:styleId="Footer">
    <w:name w:val="footer"/>
    <w:basedOn w:val="Normal"/>
    <w:link w:val="FooterChar"/>
    <w:uiPriority w:val="99"/>
    <w:unhideWhenUsed/>
    <w:rsid w:val="0000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4E"/>
  </w:style>
  <w:style w:type="paragraph" w:styleId="ListParagraph">
    <w:name w:val="List Paragraph"/>
    <w:basedOn w:val="Normal"/>
    <w:uiPriority w:val="34"/>
    <w:qFormat/>
    <w:rsid w:val="0000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inter">
  <a:themeElements>
    <a:clrScheme name="Custom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0070C0"/>
      </a:accent1>
      <a:accent2>
        <a:srgbClr val="005BD3"/>
      </a:accent2>
      <a:accent3>
        <a:srgbClr val="005BD3"/>
      </a:accent3>
      <a:accent4>
        <a:srgbClr val="005BD3"/>
      </a:accent4>
      <a:accent5>
        <a:srgbClr val="005BD3"/>
      </a:accent5>
      <a:accent6>
        <a:srgbClr val="00349E"/>
      </a:accent6>
      <a:hlink>
        <a:srgbClr val="005BD3"/>
      </a:hlink>
      <a:folHlink>
        <a:srgbClr val="005BD3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003A-4627-42CF-857D-ED29E177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Finch</dc:creator>
  <cp:lastModifiedBy>Traci Finch</cp:lastModifiedBy>
  <cp:revision>3</cp:revision>
  <cp:lastPrinted>2014-08-05T01:17:00Z</cp:lastPrinted>
  <dcterms:created xsi:type="dcterms:W3CDTF">2020-01-20T01:35:00Z</dcterms:created>
  <dcterms:modified xsi:type="dcterms:W3CDTF">2020-01-20T01:36:00Z</dcterms:modified>
</cp:coreProperties>
</file>